
<file path=[Content_Types].xml><?xml version="1.0" encoding="utf-8"?>
<Types xmlns="http://schemas.openxmlformats.org/package/2006/content-types">
  <Default Extension="xml" ContentType="application/vnd.openxmlformats-officedocument.wordprocessingml.styles+xml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/Relationships>
</file>

<file path=word/document.xml><?xml version="1.0" encoding="utf-8"?>
<w:document xmlns:r="http://schemas.openxmlformats.org/officeDocument/2006/relationships" xmlns:m="http://schemas.openxmlformats.org/officeDocument/2006/math" xmlns:w="http://schemas.openxmlformats.org/wordprocessingml/2006/main">
  <w:body>
    <w:p>
      <w:pPr>
        <w:jc w:val="center"/>
      </w:pPr>
      <w:r>
        <w:t>Министерство науки и высшего образования Республики Казахстан</w:t>
      </w:r>
    </w:p>
    <w:p/>
    <w:p>
      <w:pPr>
        <w:jc w:val="center"/>
      </w:pPr>
      <w:r>
        <w:t>ВКТУ им.Д.Серикбаева</w:t>
      </w:r>
    </w:p>
    <w:p/>
    <w:p/>
    <w:p>
      <w:pPr>
        <w:ind w:left="6100"/>
      </w:pPr>
      <w:r>
        <w:t>УТВЕРЖДАЮ:</w:t>
      </w:r>
    </w:p>
    <w:p>
      <w:pPr>
        <w:ind w:left="6100"/>
      </w:pPr>
      <w:r>
        <w:t>Декан ШБиП:</w:t>
      </w:r>
    </w:p>
    <w:p>
      <w:pPr>
        <w:ind w:left="6100"/>
      </w:pPr>
      <w:r>
        <w:t>Закимова А.М.</w:t>
      </w:r>
    </w:p>
    <w:p>
      <w:pPr>
        <w:ind w:left="6100"/>
      </w:pPr>
      <w:r>
        <w:t>_____________ </w:t>
      </w:r>
      <w:r>
        <w:t>2022</w:t>
      </w:r>
      <w:r>
        <w:t xml:space="preserve"> г.</w:t>
      </w:r>
    </w:p>
    <w:p/>
    <w:p/>
    <w:p/>
    <w:p/>
    <w:p/>
    <w:p/>
    <w:p/>
    <w:p/>
    <w:p/>
    <w:p>
      <w:pPr>
        <w:jc w:val="center"/>
      </w:pPr>
      <w:r>
        <w:rPr>
          <w:b w:val="1"/>
        </w:rPr>
        <w:t>ВЗАИМОЗАМЕНЯЕМОСТЬ, МЕТРОЛОГИЯ И СЕРТИФИКАЦИЯ</w:t>
      </w:r>
    </w:p>
    <w:p>
      <w:pPr>
        <w:jc w:val="center"/>
      </w:pPr>
      <w:r>
        <w:t>Рабочая учебная программа (силлабус)</w:t>
      </w:r>
    </w:p>
    <w:p/>
    <w:p/>
    <w:p/>
    <w:p/>
    <w:p>
      <w:r>
        <w:t>Образовательная программа: 6B04103 Бизнес-управление производственными системами</w:t>
      </w:r>
    </w:p>
    <w:p>
      <w:r>
        <w:t>Код дисциплины: VMS3209</w:t>
      </w:r>
    </w:p>
    <w:p>
      <w:r>
        <w:t>Количество кредитов: 4</w:t>
      </w:r>
    </w:p>
    <w:p>
      <w:r>
        <w:t>Цикл: БД</w:t>
      </w:r>
    </w:p>
    <w:p>
      <w:r>
        <w:t>Компонент: КВ</w:t>
      </w:r>
    </w:p>
    <w:p/>
    <w:p/>
    <w:p/>
    <w:p/>
    <w:p/>
    <w:p/>
    <w:p/>
    <w:p/>
    <w:p/>
    <w:p/>
    <w:p/>
    <w:p/>
    <w:p/>
    <w:p>
      <w:pPr>
        <w:jc w:val="center"/>
      </w:pPr>
      <w:r>
        <w:t>Усть-Каменогорск,</w:t>
      </w:r>
      <w:r>
        <w:t xml:space="preserve"> 2022</w:t>
      </w:r>
      <w:r>
        <w:br w:type="page"/>
      </w:r>
    </w:p>
    <w:p>
      <w:pPr>
        <w:ind w:firstLine="567"/>
      </w:pPr>
      <w:r>
        <w:t>Рабочая учебная программа (силлабус) разработана на «ШБиП»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/>
    <w:p>
      <w:r>
        <w:t>Одобрено Комиссией по обеспечению качества</w:t>
      </w:r>
    </w:p>
    <w:p/>
    <w:p>
      <w:pPr>
        <w:tabs>
          <w:tab w:val="left" w:pos="6500"/>
        </w:tabs>
      </w:pPr>
      <w:r>
        <w:t>Председатель</w:t>
        <w:tab/>
        <w:r>
          <w:t>Жанабаева А.С.</w:t>
        </w:r>
      </w:r>
    </w:p>
    <w:p>
      <w:r>
        <w:t xml:space="preserve">Дата    </w:t>
      </w:r>
      <w:r>
        <w:t>29.08.2022</w:t>
      </w:r>
      <w:r>
        <w:t xml:space="preserve"> г.   протокол </w:t>
      </w:r>
      <w:r>
        <w:t>№1</w:t>
      </w:r>
    </w:p>
    <w:p/>
    <w:p>
      <w:pPr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  <w:tab/>
      </w:r>
      <w:r>
        <w:t>Варавин Е.В.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6B04103</w:t>
      </w:r>
    </w:p>
    <w:p/>
    <w:p>
      <w:pPr>
        <w:tabs>
          <w:tab w:val="left" w:pos="6500"/>
        </w:tabs>
        <w:ind w:left="6500" w:hanging="6500"/>
        <w:jc w:val="left"/>
      </w:pPr>
      <w:r>
        <w:t>Разработал</w:t>
        <w:tab/>
      </w:r>
      <w:r>
        <w:t>Казыкенов А.Ж.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/>
    <w:p/>
    <w:p>
      <w:r>
        <w:br w:type="page"/>
      </w:r>
    </w:p>
    <w:p>
      <w:pPr>
        <w:jc w:val="center"/>
      </w:pPr>
      <w:r>
        <w:rPr>
          <w:b w:val="1"/>
        </w:rPr>
        <w:t>1 ХАРАКТЕРИСТИКА ДИСЦИПЛИНЫ, ЕЕ МЕСТО В УЧЕБНОМ ПРОЦЕССЕ</w:t>
      </w:r>
    </w:p>
    <w:p/>
    <w:p>
      <w:pPr>
        <w:jc w:val="center"/>
      </w:pPr>
      <w:r>
        <w:rPr>
          <w:b w:val="1"/>
        </w:rPr>
        <w:t>1.1 Краткое описание дисциплины</w:t>
      </w:r>
    </w:p>
    <w:p/>
    <w:p>
      <w:pPr>
        <w:ind w:firstLine="567"/>
      </w:pPr>
      <w:r>
        <w:t>В современной экономике качество выпускаемой продукции определяет конкурентоспособность предприятия, его жизнеспособность и устойчивое
развитие. В ходе изучения дисциплины обучающий изучает принципы создания изделий высокого качества, содержит вопросы практического применения разработок теоретической и законодательной метрологии, рассматривает виды взаимозаменяемости и принципы нормирования требований к деталям, узлам и механизмам, используемые при конструировании; основные положения стандартизации и сертификации Республики Казахстан.</w:t>
      </w:r>
    </w:p>
    <w:p/>
    <w:p>
      <w:pPr>
        <w:jc w:val="center"/>
      </w:pPr>
      <w:r>
        <w:rPr>
          <w:b w:val="1"/>
        </w:rPr>
        <w:t>1.2 Цель и задачи изучения дисциплины</w:t>
      </w:r>
    </w:p>
    <w:p/>
    <w:p>
      <w:pPr>
        <w:ind w:firstLine="567"/>
      </w:pPr>
      <w:r>
        <w:t>Цель изучения дисциплины:</w:t>
      </w:r>
    </w:p>
    <w:p>
      <w:pPr>
        <w:ind w:firstLine="567"/>
      </w:pPr>
      <w:r>
        <w:t>Системное представление основных разделов взаимозаменяемости, метрологии и сертификации, а также приобретение студентами всего массива знаний и навыков</w:t>
      </w:r>
    </w:p>
    <w:p/>
    <w:p>
      <w:pPr>
        <w:ind w:firstLine="567"/>
      </w:pPr>
      <w:r>
        <w:t>Задачи изучения дисциплины:</w:t>
      </w:r>
    </w:p>
    <w:p>
      <w:pPr>
        <w:ind w:firstLine="567"/>
      </w:pPr>
      <w:r>
        <w:t>- Задачами дисциплины ставятся задачи ознакомления студентов с научно-методическими основами взаимозаменяемости, с методами измерения и средствами контроля, а также с понятием о погрешностях изготовления и измерения деталей Углубленное изучение студентами необходимых знаний основополагающих государственных стандартов, стандартов по нормированию точности типовых соединений и поверхностей; основ необходимых при расчетах погрешностей измерения, контроля, выборе метода измерения.</w:t>
      </w:r>
    </w:p>
    <w:p/>
    <w:p>
      <w:pPr>
        <w:jc w:val="center"/>
      </w:pPr>
      <w:r>
        <w:rPr>
          <w:b w:val="1"/>
        </w:rPr>
        <w:t>1.3 Результаты обучения</w:t>
      </w:r>
    </w:p>
    <w:p/>
    <w:p>
      <w:pPr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vMerge w:val="restart"/>
            <w:tcW w:w="1119" w:type="pct"/>
          </w:tcPr>
          <w:p>
            <w:pPr>
              <w:jc w:val="center"/>
            </w:pPr>
            <w:r>
              <w:t>Формируемые ключевые компетенции</w:t>
            </w:r>
          </w:p>
        </w:tc>
        <w:tc>
          <w:tcPr>
            <w:gridSpan w:val="2"/>
          </w:tcPr>
          <w:p>
            <w:pPr>
              <w:jc w:val="center"/>
            </w:pPr>
            <w:r>
              <w:t>Результаты обучения (единицы ключевых компетенций)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w="2015" w:type="pct"/>
          </w:tcPr>
          <w:p>
            <w:pPr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>
            <w:pPr>
              <w:jc w:val="center"/>
            </w:pPr>
            <w:r>
              <w:t>дисциплины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КК6 - Способность выявлять и оценивать новые рыночные возможности, разрабатывать бизнес-планы создания и развития новых направлений деятельности и организаций</w:t>
            </w:r>
          </w:p>
        </w:tc>
        <w:tc>
          <w:p>
            <w:r>
              <w:rPr>
                <w:sz w:val="20"/>
              </w:rPr>
              <w:t>РО11 - Уметь осуществлять расчет необходимых ресурсов для реализации инновационных проектов и программ развития предприятия с учетом конъюнктуры на рынке и соблюдения стандартов качества</w:t>
            </w:r>
          </w:p>
        </w:tc>
        <w:tc>
          <w:tcPr>
            <w:vMerge w:val="restart"/>
          </w:tcPr>
          <w:p>
            <w:pPr>
              <w:ind w:firstLine="567"/>
            </w:pPr>
            <w:r>
              <w:rPr>
                <w:sz w:val="20"/>
              </w:rPr>
              <w:t>- знание и понимание в основных вопросах о размерах и сопряжениях в машиностроении, понятиях о взаимозаменяемости в машиностроении, стандартизации и унификации, понятие о технических измерениях.</w:t>
            </w:r>
          </w:p>
          <w:p>
            <w:pPr>
              <w:ind w:firstLine="567"/>
            </w:pPr>
            <w:r>
              <w:rPr>
                <w:sz w:val="20"/>
              </w:rPr>
              <w:t>- В вопросах о предпочтительных( стандартных) числах и их роль в стандартизации и взаимозаменяемости, предельных отклонений и полей допусков. Применение знаний и пониманий в вопросах расчета и выбора посадок, линейных измерениях, в методических основах стандартизации, в альтернативных методах контроля изделий.</w:t>
            </w:r>
          </w:p>
          <w:p>
            <w:pPr>
              <w:ind w:firstLine="567"/>
            </w:pPr>
            <w:r>
              <w:rPr>
                <w:sz w:val="20"/>
              </w:rPr>
              <w:t>- формирование суждений о основных нормах взаимозаменяемости, которые базируются на стандартах и рекомендациях , совершенствование деятельности стандартизации, и технических измерений, основные направления совершенствования деятельности, деятельности высшего руководства предприятия, формирование стратегии, тактики и планирования.</w:t>
            </w:r>
          </w:p>
          <w:p>
            <w:pPr>
              <w:ind w:firstLine="567"/>
            </w:pPr>
            <w:r>
              <w:rPr>
                <w:sz w:val="20"/>
              </w:rPr>
              <w:t>- коммуникация в вопросах связанных с основными нормами взаимозаменяемости, стандартизации, и технических измерений, ыполняющих работы по взаимозаменяемости базирующей на стандартах и рекомендациях</w:t>
            </w:r>
          </w:p>
          <w:p>
            <w:pPr>
              <w:ind w:firstLine="567"/>
            </w:pPr>
            <w:r>
              <w:rPr>
                <w:sz w:val="20"/>
              </w:rPr>
              <w:t>- навыки обучения по основным теоретическим разделам Взаимозаменяемость, стандартизация и технические измерения необходимы по совершенствованию деятельности подразделений. Группы по совершенствованию процессов предприятий. По управлению персоналом в процессе совершенствования деятельности .</w:t>
            </w:r>
          </w:p>
        </w:tc>
      </w:tr>
    </w:tbl>
    <w:p/>
    <w:p>
      <w:pPr>
        <w:jc w:val="center"/>
      </w:pPr>
      <w:r>
        <w:rPr>
          <w:b w:val="1"/>
        </w:rPr>
        <w:t>1.4 Образовательные технологии, применяемые при освоении дисциплины</w:t>
      </w:r>
    </w:p>
    <w:p/>
    <w:p>
      <w:pPr>
        <w:jc w:val="center"/>
      </w:pPr>
      <w:r>
        <w:rPr>
          <w:b w:val="1"/>
        </w:rPr>
        <w:t>1.4.1 Основные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/>
    <w:p/>
    <w:p>
      <w:pPr>
        <w:jc w:val="center"/>
      </w:pPr>
      <w:r>
        <w:rPr>
          <w:b w:val="1"/>
        </w:rPr>
        <w:t>1.4.2 Адаптивные образовательные технологии (инклюзивное обучение)</w:t>
      </w:r>
    </w:p>
    <w:p/>
    <w:p>
      <w:pPr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/>
    <w:p/>
    <w:p>
      <w:pPr>
        <w:jc w:val="center"/>
      </w:pPr>
      <w:r>
        <w:rPr>
          <w:b w:val="1"/>
        </w:rPr>
        <w:t>1.4.3 Инновационные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инновационных образовательных технологий:</w:t>
      </w:r>
    </w:p>
    <w:p/>
    <w:p>
      <w:pPr>
        <w:jc w:val="center"/>
      </w:pPr>
      <w:r>
        <w:rPr>
          <w:b w:val="1"/>
        </w:rPr>
        <w:t>1.5 Пререквизиты</w:t>
      </w:r>
    </w:p>
    <w:p/>
    <w:p>
      <w:pPr>
        <w:ind w:firstLine="567"/>
      </w:pPr>
      <w:r>
        <w:t>- Теория управления организацией </w:t>
      </w:r>
    </w:p>
    <w:p/>
    <w:p>
      <w:pPr>
        <w:jc w:val="center"/>
      </w:pPr>
      <w:r>
        <w:rPr>
          <w:b w:val="1"/>
        </w:rPr>
        <w:t>1.6 Постреквизиты</w:t>
      </w:r>
    </w:p>
    <w:p/>
    <w:p>
      <w:pPr>
        <w:ind w:firstLine="567"/>
      </w:pPr>
    </w:p>
    <w:p/>
    <w:p>
      <w:pPr>
        <w:jc w:val="center"/>
      </w:pPr>
      <w:r>
        <w:rPr>
          <w:b w:val="1"/>
        </w:rPr>
        <w:t>1.7 Трудоемкость дисциплины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3500"/>
          </w:tcPr>
          <w:p>
            <w:r>
              <w:t>Виды работ</w:t>
            </w:r>
          </w:p>
        </w:tc>
        <w:tc>
          <w:tcPr>
            <w:tcW w:type="pct" w:w="1500"/>
          </w:tcPr>
          <w:p>
            <w:pPr>
              <w:jc w:val="center"/>
            </w:pPr>
            <w:r>
              <w:t>часы</w:t>
            </w:r>
          </w:p>
        </w:tc>
      </w:tr>
      <w:tr>
        <w:tc>
          <w:p>
            <w:r>
              <w:t>Лекции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Практические работы</w:t>
            </w:r>
          </w:p>
        </w:tc>
        <w:tc>
          <w:p>
            <w:pPr>
              <w:jc w:val="center"/>
            </w:pPr>
            <w:r>
              <w:t>30</w:t>
            </w:r>
          </w:p>
        </w:tc>
      </w:tr>
      <w:tr>
        <w:tc>
          <w:p>
            <w:r>
              <w:t>СРОП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</w:t>
            </w:r>
          </w:p>
        </w:tc>
        <w:tc>
          <w:p>
            <w:pPr>
              <w:jc w:val="center"/>
            </w:pPr>
            <w:r>
              <w:t>60</w:t>
            </w:r>
          </w:p>
        </w:tc>
      </w:tr>
      <w:tr>
        <w:tc>
          <w:p>
            <w:pPr>
              <w:jc w:val="left"/>
            </w:pPr>
            <w:r>
              <w:t>Форма проведения итогового контроля</w:t>
            </w:r>
          </w:p>
        </w:tc>
        <w:tc>
          <w:p>
            <w:pPr>
              <w:jc w:val="center"/>
            </w:pPr>
            <w:r>
              <w:t>экзамен</w:t>
            </w:r>
          </w:p>
        </w:tc>
      </w:tr>
    </w:tbl>
    <w:p/>
    <w:p>
      <w:pPr>
        <w:jc w:val="center"/>
      </w:pPr>
      <w:r>
        <w:rPr>
          <w:b w:val="1"/>
        </w:rPr>
        <w:t>2 СОДЕРЖАНИЕ ДИСЦИПЛИНЫ</w:t>
      </w:r>
    </w:p>
    <w:p/>
    <w:p>
      <w:pPr>
        <w:jc w:val="center"/>
      </w:pPr>
      <w:r>
        <w:rPr>
          <w:b w:val="1"/>
        </w:rPr>
        <w:t>2.1 Тематический план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147" w:type="pct"/>
          </w:tcPr>
          <w:p>
            <w:pPr>
              <w:jc w:val="center"/>
            </w:pPr>
            <w:r>
              <w:t>№</w:t>
            </w:r>
          </w:p>
        </w:tc>
        <w:tc>
          <w:tcPr>
            <w:tcW w:w="3383" w:type="pct"/>
          </w:tcPr>
          <w:p>
            <w:pPr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Лекционные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t>Тема 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p/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Практические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t>Тема 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2.2 Задания для самостоятельной работы обучающегося (СРО)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rHeight w:val="1229"/>
          <w:tblHeader w:val="1"/>
        </w:trPr>
        <w:tc>
          <w:tcPr>
            <w:tcW w:w="1026" w:type="pct"/>
          </w:tcPr>
          <w:p>
            <w:pPr>
              <w:jc w:val="center"/>
            </w:pPr>
            <w:r>
              <w:t>Тема</w:t>
            </w:r>
          </w:p>
        </w:tc>
        <w:tc>
          <w:tcPr>
            <w:tcW w:w="1140" w:type="pct"/>
          </w:tcPr>
          <w:p>
            <w:pPr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>
            <w:pPr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>
            <w:pPr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p/>
        </w:tc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4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2.3 График сдачи заданий по дисциплине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1850"/>
            <w:vMerge w:val="restart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gridSpan w:val="10"/>
          </w:tcPr>
          <w:p>
            <w:pPr>
              <w:jc w:val="center"/>
            </w:pPr>
            <w:r>
              <w:t>Академический период обучения, неделя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type="pct" w:w="315"/>
          </w:tcPr>
          <w:p>
            <w:pPr>
              <w:jc w:val="center"/>
            </w:pPr>
            <w:r>
              <w:t>1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2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3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4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5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6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7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8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9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10</w:t>
            </w:r>
          </w:p>
        </w:tc>
      </w:tr>
      <w:tr>
        <w:tc>
          <w:tcPr>
            <w:gridSpan w:val="11"/>
          </w:tcPr>
          <w:p>
            <w:pPr>
              <w:jc w:val="center"/>
            </w:pPr>
            <w:r>
              <w:t>Знание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Понимание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Применение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Анализ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3 ОЦЕНКА ЗНАНИЙ ОБУЧАЮЩЕГОСЯ</w:t>
      </w:r>
    </w:p>
    <w:p/>
    <w:p>
      <w:pPr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триместр,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500"/>
          </w:tcPr>
          <w:p>
            <w:pPr>
              <w:jc w:val="center"/>
            </w:pPr>
            <w:r>
              <w:t>Период</w:t>
            </w:r>
          </w:p>
        </w:tc>
        <w:tc>
          <w:tcPr>
            <w:tcW w:type="pct" w:w="2500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t>Количество баллов (max)</w:t>
            </w:r>
          </w:p>
        </w:tc>
        <w:tc>
          <w:tcPr>
            <w:tcW w:type="pct" w:w="500"/>
          </w:tcPr>
          <w:p>
            <w:pPr>
              <w:jc w:val="center"/>
            </w:pPr>
            <w:r>
              <w:t>Итого</w:t>
            </w: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p>
            <w:pPr>
              <w:jc w:val="center"/>
            </w:pPr>
            <w:r>
              <w:t>Итоговый контроль</w:t>
            </w:r>
          </w:p>
        </w:tc>
        <w:tc>
          <w:tcPr>
            <w:hMerge w:val="restart"/>
          </w:tcPr>
          <w:p>
            <w:r>
              <w:t>экзамен</w:t>
            </w:r>
          </w:p>
        </w:tc>
        <w:tc>
          <w:tcPr>
            <w:hMerge w:val="continue"/>
          </w:tcPr>
          <w:p/>
        </w:tc>
        <w:tc>
          <w:p>
            <w:pPr>
              <w:jc w:val="center"/>
            </w:pPr>
            <w:r>
              <w:t>0-100</w:t>
            </w:r>
          </w:p>
        </w:tc>
      </w:tr>
    </w:tbl>
    <w:p/>
    <w:p>
      <w:pPr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>
      <w:pPr>
        <w:ind w:firstLine="567"/>
      </w:pPr>
      <w:r>
        <w:t>- 40% результата, полученного на экзамене;</w:t>
      </w:r>
    </w:p>
    <w:p>
      <w:pPr>
        <w:ind w:firstLine="567"/>
      </w:pPr>
      <w:r>
        <w:t>- 60% результатов текущей успеваемости.</w:t>
      </w:r>
    </w:p>
    <w:p/>
    <w:p>
      <w:pPr>
        <w:ind w:firstLine="567"/>
      </w:pPr>
      <w:r>
        <w:t>Формула подсчета итоговой оценки:</w:t>
      </w:r>
    </w:p>
    <w:p/>
    <w:p>
      <w:pPr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/>
                <w:i/>
                <w:szCs w:val="28"/>
              </w:rPr>
            </m:ctrlPr>
          </m:num>
          <m:den>
            <m:r>
              <w:rPr>
                <w:rFonts w:ascii="Cambria Math"/>
                <w:szCs w:val="28"/>
              </w:rPr>
              <m:t>2</m:t>
            </m:r>
            <m:ctrlPr>
              <w:rPr>
                <w:rFonts w:asci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  <w:tab/>
        <w:tab/>
        <w:tab/>
        <w:tab/>
        <w:t>(1)</w:t>
      </w:r>
    </w:p>
    <w:p/>
    <w:p>
      <w:pPr>
        <w:ind w:firstLine="567"/>
      </w:pPr>
      <w:r>
        <w:t>где, 	 Р1, Р2 – цифровые эквиваленты оценок первого, второго рейтингов соответственно; Э – цифровой эквивалент оценки на экзамене.</w:t>
      </w:r>
    </w:p>
    <w:p/>
    <w:p>
      <w:pPr>
        <w:ind w:firstLine="567"/>
      </w:pPr>
      <w:r>
        <w:t>Итоговая буквенная оценка и ее цифровой эквивалент в баллах:</w:t>
      </w:r>
    </w:p>
    <w:p/>
    <w:p>
      <w:pPr>
        <w:ind w:firstLine="567"/>
      </w:pPr>
      <w:r>
        <w:rPr>
          <w:b w:val="1"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600" w:type="pct"/>
          </w:tcPr>
          <w:p>
            <w:pPr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>
            <w:pPr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Оценка по традиционной системе</w:t>
            </w:r>
          </w:p>
        </w:tc>
        <w:tc>
          <w:p>
            <w:pPr>
              <w:jc w:val="center"/>
            </w:pPr>
            <w:r>
              <w:t>Критерий</w:t>
            </w:r>
          </w:p>
        </w:tc>
      </w:tr>
      <w:tr>
        <w:tc>
          <w:p>
            <w:pPr>
              <w:jc w:val="center"/>
            </w:pPr>
            <w:r>
              <w:t>A</w:t>
            </w:r>
          </w:p>
        </w:tc>
        <w:tc>
          <w:p>
            <w:pPr>
              <w:jc w:val="center"/>
            </w:pPr>
            <w:r>
              <w:t>4.0</w:t>
            </w:r>
          </w:p>
        </w:tc>
        <w:tc>
          <w:p>
            <w:pPr>
              <w:jc w:val="center"/>
            </w:pPr>
            <w:r>
              <w:t>95-100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Отлично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>
        <w:tc>
          <w:p>
            <w:pPr>
              <w:jc w:val="center"/>
            </w:pPr>
            <w:r>
              <w:t>A-</w:t>
            </w:r>
          </w:p>
        </w:tc>
        <w:tc>
          <w:p>
            <w:pPr>
              <w:jc w:val="center"/>
            </w:pPr>
            <w:r>
              <w:t>3.67</w:t>
            </w:r>
          </w:p>
        </w:tc>
        <w:tc>
          <w:p>
            <w:pPr>
              <w:jc w:val="center"/>
            </w:pPr>
            <w:r>
              <w:t>90-94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B+</w:t>
            </w:r>
          </w:p>
        </w:tc>
        <w:tc>
          <w:p>
            <w:pPr>
              <w:jc w:val="center"/>
            </w:pPr>
            <w:r>
              <w:t>3.33</w:t>
            </w:r>
          </w:p>
        </w:tc>
        <w:tc>
          <w:p>
            <w:pPr>
              <w:jc w:val="center"/>
            </w:pPr>
            <w:r>
              <w:t>85-89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Хорошо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>
        <w:tc>
          <w:p>
            <w:pPr>
              <w:jc w:val="center"/>
            </w:pPr>
            <w:r>
              <w:t>B</w:t>
            </w:r>
          </w:p>
        </w:tc>
        <w:tc>
          <w:p>
            <w:pPr>
              <w:jc w:val="center"/>
            </w:pPr>
            <w:r>
              <w:t>3.0</w:t>
            </w:r>
          </w:p>
        </w:tc>
        <w:tc>
          <w:p>
            <w:pPr>
              <w:jc w:val="center"/>
            </w:pPr>
            <w:r>
              <w:t>80-84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B-</w:t>
            </w:r>
          </w:p>
        </w:tc>
        <w:tc>
          <w:p>
            <w:pPr>
              <w:jc w:val="center"/>
            </w:pPr>
            <w:r>
              <w:t>2.67</w:t>
            </w:r>
          </w:p>
        </w:tc>
        <w:tc>
          <w:p>
            <w:pPr>
              <w:jc w:val="center"/>
            </w:pPr>
            <w:r>
              <w:t>75-79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C+</w:t>
            </w:r>
          </w:p>
        </w:tc>
        <w:tc>
          <w:p>
            <w:pPr>
              <w:jc w:val="center"/>
            </w:pPr>
            <w:r>
              <w:t>2.33</w:t>
            </w:r>
          </w:p>
        </w:tc>
        <w:tc>
          <w:p>
            <w:pPr>
              <w:jc w:val="center"/>
            </w:pPr>
            <w:r>
              <w:t>70-74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</w:t>
            </w:r>
          </w:p>
        </w:tc>
        <w:tc>
          <w:p>
            <w:pPr>
              <w:jc w:val="center"/>
            </w:pPr>
            <w:r>
              <w:t>2.0</w:t>
            </w:r>
          </w:p>
        </w:tc>
        <w:tc>
          <w:p>
            <w:pPr>
              <w:jc w:val="center"/>
            </w:pPr>
            <w:r>
              <w:t>65-69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>
        <w:tc>
          <w:p>
            <w:pPr>
              <w:jc w:val="center"/>
            </w:pPr>
            <w:r>
              <w:t>C-</w:t>
            </w:r>
          </w:p>
        </w:tc>
        <w:tc>
          <w:p>
            <w:pPr>
              <w:jc w:val="center"/>
            </w:pPr>
            <w:r>
              <w:t>1.67</w:t>
            </w:r>
          </w:p>
        </w:tc>
        <w:tc>
          <w:p>
            <w:pPr>
              <w:jc w:val="center"/>
            </w:pPr>
            <w:r>
              <w:t>60-64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D+</w:t>
            </w:r>
          </w:p>
        </w:tc>
        <w:tc>
          <w:p>
            <w:pPr>
              <w:jc w:val="center"/>
            </w:pPr>
            <w:r>
              <w:t>1.33</w:t>
            </w:r>
          </w:p>
        </w:tc>
        <w:tc>
          <w:p>
            <w:pPr>
              <w:jc w:val="center"/>
            </w:pPr>
            <w:r>
              <w:t>55-59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</w:t>
            </w:r>
          </w:p>
        </w:tc>
        <w:tc>
          <w:p>
            <w:pPr>
              <w:jc w:val="center"/>
            </w:pPr>
            <w:r>
              <w:t>1.0</w:t>
            </w:r>
          </w:p>
        </w:tc>
        <w:tc>
          <w:p>
            <w:pPr>
              <w:jc w:val="center"/>
            </w:pPr>
            <w:r>
              <w:t>50-54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FX</w:t>
            </w:r>
          </w:p>
        </w:tc>
        <w:tc>
          <w:p>
            <w:pPr>
              <w:jc w:val="center"/>
            </w:pPr>
            <w:r>
              <w:t>0.5</w:t>
            </w:r>
          </w:p>
        </w:tc>
        <w:tc>
          <w:p>
            <w:pPr>
              <w:jc w:val="center"/>
            </w:pPr>
            <w:r>
              <w:t>25-49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Неудовлетворительно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>
        <w:tc>
          <w:p>
            <w:pPr>
              <w:jc w:val="center"/>
            </w:pPr>
            <w:r>
              <w:t>F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0-24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4 ПОЛИТИКА ДИСЦИПЛИНЫ</w:t>
      </w:r>
    </w:p>
    <w:p/>
    <w:p>
      <w:pPr>
        <w:ind w:firstLine="567"/>
      </w:pPr>
      <w:r>
        <w:t>Обучающийся обязан:</w:t>
      </w:r>
    </w:p>
    <w:p/>
    <w:p>
      <w:pPr>
        <w:jc w:val="center"/>
      </w:pPr>
      <w:r>
        <w:rPr>
          <w:b w:val="1"/>
        </w:rPr>
        <w:t>5 СПИСОК РЕКОМЕНДУЕМОЙ ЛИТЕРАТУРЫ</w:t>
      </w:r>
    </w:p>
    <w:p/>
    <w:p>
      <w:pPr>
        <w:jc w:val="center"/>
      </w:pPr>
      <w:r>
        <w:rPr>
          <w:b w:val="1"/>
        </w:rPr>
        <w:t>5.1 Основная литература</w:t>
      </w:r>
    </w:p>
    <w:p/>
    <w:p>
      <w:pPr>
        <w:ind w:firstLine="567"/>
      </w:pPr>
      <w:r>
        <w:t>1. Никифоров, Анатолий Дмитриевич. Взаимозаменяемость, стандартизация и технические измерения : учеб. пособие / А.Д.Никифоров. - 2-е изд., стереотип. - М. : Высш. шк., 2002. - 510 c. : ил. - Библиогр.: с. 508. - ISBN 5-06-004330-4 Радкевич, Яков Михайлович. Метрология, стандартизация и взаимозаменяемость. Кн.2. Стандартизация : учебник / Я.М. Радкевич, Б.И. Лактионов . - М. : МГГУ, 1996. - 267 с. - (Высшее горное образование). Зябрева, Нина Николаевна. Пособие к решению задач по курсу "взаимозаменяемость, стандартизация и технические измерения" : Учеб. пособие / Н.Н. Зябрева, Е.И. Перельман, М.Я. Шегал. - М. : Высш. шк., 1977. - 208 с. : ил. - Библиогр.: с. 202. Чижикова, Тамара Викторовна. Стандартизация, сертификация и метрология. Основы взаимозаменяемости : Учеб. пособие / Т.В.Чижикова. - М. : КолосС, 2004. - 239 c. : рис., табл. - (Учебники и учебные пособия для студентов высших учебных заведений). - Библиогр.: с.235-236 . - ISBN 5-9532-0008-0 Бедрековский, М. А. Интегральные микросхемы: Взаимозаменяемость и аналоги : справочное издание / М.А. Бедрековский, А.А. Косырбасов, П.П. Мальцев. - М. : Энергоатомиздат, 1991. - 272 с. : ил. - Б. ц. Дудкин, М. В Измерение величины шероховатости поверхности : Метод. указания по выполнению работы по курсам "Взаимозаменяемость, стандартизация и техн.измерения" и "Метрология, стандартизация и упр.качеством" для студентов ВУЗов / М.В Дудкин ; М-во образования и науки РК; ВКТУ им Д. Серикбаева. - Усть-Каменогорск : [б. и.], 2000. - 13 с. - Библиогр.: с.13 . - Б. ц. Болдин, Л. А. Основы взаимозаменяемости и стандартизации в машиностроении : учеб. пособие для вузов / Л.А. Болдин. - 2-е изд., испр. и доп. - М. : Машиностроение, 1984. - 271 с. - Библиогр.: с.265-266. - Б. ц. Брук, С. И. Основы взаимозаменяемости и технические измерения : Учеб. пособие с элементами программир. обучения / С. И. Брук ; М-во высш. и сред. спец. образования РСФСР. - Л. : Изд-во Ленингр. ун-та, 1973. - 173 с. : черт. - Библиогр.: с. 172. - Б. ц.
Балонкина, И. И. Опыт внедрения взаимозаменяемости в ленинградской промышленности / И.И. Балонкина. - Л. : ЛДНТП, 1983. - 24 с. - (Совершенствование комплекс. систем упр. качеством продукции(КС УКП), стандартизация, метрология, надежность, техн. эстетика, прогнозирование). - Библиогр.: с. 19-22. - Б. ц.</w:t>
      </w:r>
    </w:p>
    <w:p/>
    <w:p>
      <w:pPr>
        <w:jc w:val="center"/>
      </w:pPr>
      <w:r>
        <w:rPr>
          <w:b w:val="1"/>
        </w:rPr>
        <w:t>5.2 Дополнительная литература</w:t>
      </w:r>
    </w:p>
    <w:p/>
    <w:p>
      <w:pPr>
        <w:ind w:firstLine="567"/>
      </w:pPr>
      <w:r>
        <w:t>1. Елисеев, А. Г. Взаимозаменяемость горючих газов и приспособление горелок к газам разных физико-химических характеристик : Автореф. дисс. на соискание ученой степени канд. техн. наук / А. Г. Елисеев ; Белорус. политехн. ин-т Коротков, В. П. Взаимозаменяемость резьбовых сопряжений. /Размеры, допуски, калибры и контроль/ : Справочник / В. П. Коротков, Б. Г. Кустарев, А. В. Хныкина ; ред. В. П. Коротков. - М. : Машиностроение, 1968. - 215 с. : ил. - Библиогр.: с. 212. - Б. ц. Иванов, А. И. Основы взаимозаменяемости и технические измерения : учеб пособие для студентов с.-х. вузов по спец. "Механизация сельск. хоз-ва" / А.И. Иванов. - М. : Колос, 1975. - 495 с. : ил. - Б. ц.</w:t>
      </w:r>
    </w:p>
    <w:sectPr>
      <w:headerReference w:type="default" r:id="rId2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header1.xml><?xml version="1.0" encoding="utf-8"?>
<w:hdr xmlns:wp="http://schemas.openxmlformats.org/drawingml/2006/wordprocessingDrawing" xmlns:r="http://schemas.openxmlformats.org/officeDocument/2006/relationships" xmlns:w="http://schemas.openxmlformats.org/wordprocessingml/2006/main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</w:tblPr>
    <w:tblGrid/>
    <w:tr>
      <w:trPr>
        <w:cantSplit/>
        <w:trHeight w:val="353"/>
      </w:trPr>
      <w:tc>
        <w:tcPr>
          <w:tcW w:w="1129" w:type="dxa"/>
          <w:vMerge w:val="restart"/>
          <w:vAlign w:val="center"/>
        </w:tcPr>
        <w:p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gridSpan w:val="2"/>
          <w:vAlign w:val="center"/>
        </w:tcPr>
        <w:p>
          <w:pPr>
            <w:pStyle w:val="header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>
          <w:pPr>
            <w:pStyle w:val="header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fldChar w:fldCharType="end"/>
          </w:r>
        </w:p>
      </w:tc>
    </w:tr>
    <w:tr>
      <w:trPr>
        <w:cantSplit/>
        <w:trHeight w:val="310"/>
      </w:trPr>
      <w:tc>
        <w:tcPr>
          <w:tcW w:w="1129" w:type="dxa"/>
          <w:vMerge/>
        </w:tcPr>
        <w:p/>
      </w:tc>
      <w:tc>
        <w:tcPr>
          <w:tcW w:w="1921" w:type="dxa"/>
          <w:vAlign w:val="center"/>
        </w:tcPr>
        <w:p>
          <w:pPr>
            <w:pStyle w:val="header"/>
          </w:pPr>
          <w:r>
            <w:t>Система менеджмента качества</w:t>
          </w:r>
        </w:p>
      </w:tc>
      <w:tc>
        <w:tcPr>
          <w:vAlign w:val="center"/>
        </w:tcPr>
        <w:p>
          <w:pPr>
            <w:pStyle w:val="header"/>
          </w:pPr>
          <w:r>
            <w:t>И-НАО "ВКТУ" 026-II-2021</w:t>
          </w:r>
        </w:p>
        <w:p>
          <w:pPr>
            <w:pStyle w:val="header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/>
      </w:tc>
    </w:tr>
  </w:tbl>
  <w:p/>
</w:hdr>
</file>

<file path=word/settings.xml><?xml version="1.0" encoding="utf-8"?>
<w:settings xmlns:w="http://schemas.openxmlformats.org/wordprocessingml/2006/main">
  <w:view w:val="print"/>
  <w:zoom w:percent="100"/>
</w:settings>
</file>

<file path=word/styles.xml><?xml version="1.0" encoding="utf-8"?>
<w:styles xmlns:w="http://schemas.openxmlformats.org/wordprocessingml/2006/main">
  <w:style w:default="true" w:type="paragraph" w:styleId="default">
    <w:pPr>
      <w:spacing w:after="0" w:line="240" w:lineRule="auto"/>
      <w:jc w:val="both"/>
    </w:pPr>
    <w:rPr>
      <w:rFonts w:ascii="Times New Roman" w:cs="Times New Roman" w:hAnsi="Times New Roman"/>
      <w:sz w:val="24"/>
    </w:rPr>
  </w:style>
  <w:style w:type="paragraph" w:styleId="title">
    <w:pPr>
      <w:jc w:val="center"/>
      <w:spacing w:after="0" w:line="240" w:lineRule="auto"/>
    </w:pPr>
    <w:rPr>
      <w:b w:val="1"/>
      <w:rFonts w:ascii="Times New Roman" w:cs="Times New Roman" w:hAnsi="Times New Roman"/>
      <w:sz w:val="22"/>
    </w:rPr>
  </w:style>
  <w:style w:type="paragraph" w:styleId="header">
    <w:pPr>
      <w:jc w:val="center"/>
      <w:spacing w:after="0" w:line="240" w:lineRule="auto"/>
    </w:pPr>
    <w:rPr>
      <w:b w:val="1"/>
      <w:rFonts w:ascii="Tahoma" w:cs="Tahoma" w:hAnsi="Tahoma"/>
      <w:sz w:val="1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2" /><Relationship Type="http://schemas.openxmlformats.org/officeDocument/2006/relationships/settings" Target="/word/settings.xml" Id="rId3" /><Relationship Type="http://schemas.openxmlformats.org/officeDocument/2006/relationships/header" Target="/word/header1.xml" Id="rId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